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A2" w:rsidRPr="003E1724" w:rsidRDefault="00606C41" w:rsidP="003E1724">
      <w:pPr>
        <w:jc w:val="center"/>
        <w:rPr>
          <w:b/>
          <w:bCs/>
        </w:rPr>
      </w:pPr>
      <w:r>
        <w:rPr>
          <w:b/>
          <w:bCs/>
        </w:rPr>
        <w:t>Guide</w:t>
      </w:r>
      <w:bookmarkStart w:id="0" w:name="_GoBack"/>
      <w:bookmarkEnd w:id="0"/>
      <w:r>
        <w:rPr>
          <w:b/>
          <w:bCs/>
        </w:rPr>
        <w:t>lines</w:t>
      </w:r>
      <w:r w:rsidR="008B0EF4" w:rsidRPr="003E1724">
        <w:rPr>
          <w:b/>
          <w:bCs/>
        </w:rPr>
        <w:t xml:space="preserve"> for Sample use in GEMINI</w:t>
      </w:r>
    </w:p>
    <w:p w:rsidR="008B0EF4" w:rsidRDefault="008B0EF4"/>
    <w:p w:rsidR="00C86E39" w:rsidRDefault="00C86E39">
      <w:r>
        <w:t>The general rules are:</w:t>
      </w:r>
    </w:p>
    <w:p w:rsidR="00BA0750" w:rsidRDefault="00BA0750" w:rsidP="00C86E39">
      <w:pPr>
        <w:pStyle w:val="ListParagraph"/>
        <w:numPr>
          <w:ilvl w:val="0"/>
          <w:numId w:val="3"/>
        </w:numPr>
      </w:pPr>
      <w:r>
        <w:t>It is the investigators’ responsibility to ensure that the required sample is the minimum volume required for the assay, and justify the reason for the volume requested.</w:t>
      </w:r>
    </w:p>
    <w:p w:rsidR="00FC1061" w:rsidRDefault="00FC1061" w:rsidP="00C86E39">
      <w:pPr>
        <w:pStyle w:val="ListParagraph"/>
        <w:numPr>
          <w:ilvl w:val="0"/>
          <w:numId w:val="3"/>
        </w:numPr>
      </w:pPr>
      <w:r>
        <w:t xml:space="preserve">The study management will preserve a minimum amount of each </w:t>
      </w:r>
      <w:proofErr w:type="spellStart"/>
      <w:r>
        <w:t>biosample</w:t>
      </w:r>
      <w:proofErr w:type="spellEnd"/>
      <w:r>
        <w:t xml:space="preserve"> from all </w:t>
      </w:r>
      <w:r w:rsidRPr="00FC1061">
        <w:rPr>
          <w:u w:val="single"/>
        </w:rPr>
        <w:t>Cohort participants</w:t>
      </w:r>
      <w:r>
        <w:rPr>
          <w:u w:val="single"/>
        </w:rPr>
        <w:t xml:space="preserve"> not lost to follow-up</w:t>
      </w:r>
      <w:r w:rsidR="0020637D" w:rsidRPr="0020637D">
        <w:t xml:space="preserve"> </w:t>
      </w:r>
      <w:r w:rsidR="0020637D">
        <w:t xml:space="preserve">according to the table below. All approved projects can use samples in green zone if they don’t change the sample status to yellow or red. </w:t>
      </w:r>
      <w:r w:rsidR="008563D5">
        <w:t xml:space="preserve">Use of samples in yellow zone (provided they don’t change status to red) needs a written justification by the investigator, and PI </w:t>
      </w:r>
      <w:r w:rsidR="00B6398B">
        <w:t>approval</w:t>
      </w:r>
      <w:r w:rsidR="0020637D">
        <w:t xml:space="preserve">. Samples in red zone </w:t>
      </w:r>
      <w:r w:rsidR="008563D5">
        <w:t>are generally not included in available sample lists, unless the investigator shows an urgent necessity, and PIs agree after ample discussion in a conference call/meeting (not email alone)</w:t>
      </w:r>
      <w:r w:rsidR="0020637D">
        <w:t>.</w:t>
      </w:r>
    </w:p>
    <w:p w:rsidR="0020637D" w:rsidRDefault="0020637D" w:rsidP="0020637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sample status as determined by volume and sample type"/>
      </w:tblPr>
      <w:tblGrid>
        <w:gridCol w:w="1726"/>
        <w:gridCol w:w="1532"/>
        <w:gridCol w:w="1811"/>
        <w:gridCol w:w="1749"/>
      </w:tblGrid>
      <w:tr w:rsidR="0020637D" w:rsidTr="000D6463">
        <w:trPr>
          <w:tblHeader/>
        </w:trPr>
        <w:tc>
          <w:tcPr>
            <w:tcW w:w="1726" w:type="dxa"/>
          </w:tcPr>
          <w:p w:rsidR="0020637D" w:rsidRDefault="0020637D" w:rsidP="00CF0410">
            <w:pPr>
              <w:pStyle w:val="ListParagraph"/>
              <w:ind w:left="0"/>
            </w:pPr>
            <w:r>
              <w:t>Sample type</w:t>
            </w:r>
          </w:p>
        </w:tc>
        <w:tc>
          <w:tcPr>
            <w:tcW w:w="1532" w:type="dxa"/>
          </w:tcPr>
          <w:p w:rsidR="0020637D" w:rsidRDefault="0020637D" w:rsidP="00CF0410">
            <w:pPr>
              <w:pStyle w:val="ListParagraph"/>
              <w:ind w:left="0"/>
            </w:pPr>
            <w:r>
              <w:t>Green zone</w:t>
            </w:r>
          </w:p>
        </w:tc>
        <w:tc>
          <w:tcPr>
            <w:tcW w:w="1811" w:type="dxa"/>
          </w:tcPr>
          <w:p w:rsidR="0020637D" w:rsidRDefault="0020637D" w:rsidP="00CF0410">
            <w:pPr>
              <w:pStyle w:val="ListParagraph"/>
              <w:ind w:left="0"/>
            </w:pPr>
            <w:r>
              <w:t>Yellow zone</w:t>
            </w:r>
          </w:p>
        </w:tc>
        <w:tc>
          <w:tcPr>
            <w:tcW w:w="1749" w:type="dxa"/>
          </w:tcPr>
          <w:p w:rsidR="0020637D" w:rsidRDefault="0020637D" w:rsidP="00CF0410">
            <w:pPr>
              <w:pStyle w:val="ListParagraph"/>
              <w:ind w:left="0"/>
            </w:pPr>
            <w:r>
              <w:t xml:space="preserve">Red zone </w:t>
            </w:r>
          </w:p>
        </w:tc>
      </w:tr>
      <w:tr w:rsidR="0020637D" w:rsidTr="00CF0410">
        <w:tc>
          <w:tcPr>
            <w:tcW w:w="1726" w:type="dxa"/>
          </w:tcPr>
          <w:p w:rsidR="0020637D" w:rsidRDefault="0020637D" w:rsidP="00CF0410">
            <w:pPr>
              <w:pStyle w:val="ListParagraph"/>
              <w:ind w:left="0"/>
            </w:pPr>
            <w:r>
              <w:t>Plasma</w:t>
            </w:r>
          </w:p>
        </w:tc>
        <w:tc>
          <w:tcPr>
            <w:tcW w:w="1532" w:type="dxa"/>
          </w:tcPr>
          <w:p w:rsidR="0020637D" w:rsidRDefault="00BA0750" w:rsidP="00CF0410">
            <w:pPr>
              <w:pStyle w:val="ListParagraph"/>
              <w:ind w:left="0"/>
            </w:pPr>
            <w:r>
              <w:t>1.5-</w:t>
            </w:r>
            <w:r w:rsidR="0020637D">
              <w:t>4 mL</w:t>
            </w:r>
          </w:p>
        </w:tc>
        <w:tc>
          <w:tcPr>
            <w:tcW w:w="1811" w:type="dxa"/>
          </w:tcPr>
          <w:p w:rsidR="0020637D" w:rsidRDefault="00BA0750" w:rsidP="00CF0410">
            <w:pPr>
              <w:pStyle w:val="ListParagraph"/>
              <w:ind w:left="0"/>
            </w:pPr>
            <w:r>
              <w:t xml:space="preserve">&lt; </w:t>
            </w:r>
            <w:r w:rsidR="0020637D">
              <w:t>1.5 mL</w:t>
            </w:r>
          </w:p>
        </w:tc>
        <w:tc>
          <w:tcPr>
            <w:tcW w:w="1749" w:type="dxa"/>
          </w:tcPr>
          <w:p w:rsidR="0020637D" w:rsidRDefault="0020637D" w:rsidP="00CF0410">
            <w:pPr>
              <w:pStyle w:val="ListParagraph"/>
              <w:ind w:left="0"/>
            </w:pPr>
            <w:r>
              <w:t>0.5 mL</w:t>
            </w:r>
          </w:p>
        </w:tc>
      </w:tr>
      <w:tr w:rsidR="0020637D" w:rsidTr="00CF0410">
        <w:tc>
          <w:tcPr>
            <w:tcW w:w="1726" w:type="dxa"/>
          </w:tcPr>
          <w:p w:rsidR="0020637D" w:rsidRDefault="0020637D" w:rsidP="00CF0410">
            <w:pPr>
              <w:pStyle w:val="ListParagraph"/>
              <w:ind w:left="0"/>
            </w:pPr>
            <w:r>
              <w:t>Buffy coat</w:t>
            </w:r>
          </w:p>
        </w:tc>
        <w:tc>
          <w:tcPr>
            <w:tcW w:w="1532" w:type="dxa"/>
          </w:tcPr>
          <w:p w:rsidR="0020637D" w:rsidRDefault="00BA0750" w:rsidP="00CF0410">
            <w:pPr>
              <w:pStyle w:val="ListParagraph"/>
              <w:ind w:left="0"/>
            </w:pPr>
            <w:r>
              <w:t>1-</w:t>
            </w:r>
            <w:r w:rsidR="0020637D">
              <w:t>2 mL</w:t>
            </w:r>
          </w:p>
        </w:tc>
        <w:tc>
          <w:tcPr>
            <w:tcW w:w="1811" w:type="dxa"/>
          </w:tcPr>
          <w:p w:rsidR="0020637D" w:rsidRDefault="00BA0750" w:rsidP="00CF0410">
            <w:pPr>
              <w:pStyle w:val="ListParagraph"/>
              <w:ind w:left="0"/>
            </w:pPr>
            <w:r>
              <w:t xml:space="preserve">&lt; </w:t>
            </w:r>
            <w:r w:rsidR="0020637D">
              <w:t>1 mL</w:t>
            </w:r>
          </w:p>
        </w:tc>
        <w:tc>
          <w:tcPr>
            <w:tcW w:w="1749" w:type="dxa"/>
          </w:tcPr>
          <w:p w:rsidR="0020637D" w:rsidRDefault="0020637D" w:rsidP="00CF0410">
            <w:pPr>
              <w:pStyle w:val="ListParagraph"/>
              <w:ind w:left="0"/>
            </w:pPr>
            <w:r>
              <w:t>0.5 mL</w:t>
            </w:r>
          </w:p>
        </w:tc>
      </w:tr>
      <w:tr w:rsidR="0020637D" w:rsidTr="00CF0410">
        <w:tc>
          <w:tcPr>
            <w:tcW w:w="1726" w:type="dxa"/>
          </w:tcPr>
          <w:p w:rsidR="0020637D" w:rsidRDefault="0020637D" w:rsidP="00CF0410">
            <w:pPr>
              <w:pStyle w:val="ListParagraph"/>
              <w:ind w:left="0"/>
            </w:pPr>
            <w:r>
              <w:t xml:space="preserve">RBC </w:t>
            </w:r>
          </w:p>
        </w:tc>
        <w:tc>
          <w:tcPr>
            <w:tcW w:w="1532" w:type="dxa"/>
          </w:tcPr>
          <w:p w:rsidR="0020637D" w:rsidRDefault="00BA0750" w:rsidP="00CF0410">
            <w:pPr>
              <w:pStyle w:val="ListParagraph"/>
              <w:ind w:left="0"/>
            </w:pPr>
            <w:r>
              <w:t>0.5-</w:t>
            </w:r>
            <w:r w:rsidR="0020637D">
              <w:t>1 mL</w:t>
            </w:r>
          </w:p>
        </w:tc>
        <w:tc>
          <w:tcPr>
            <w:tcW w:w="1811" w:type="dxa"/>
          </w:tcPr>
          <w:p w:rsidR="0020637D" w:rsidRDefault="0020637D" w:rsidP="00CF0410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749" w:type="dxa"/>
          </w:tcPr>
          <w:p w:rsidR="0020637D" w:rsidRDefault="0020637D" w:rsidP="00CF0410">
            <w:pPr>
              <w:pStyle w:val="ListParagraph"/>
              <w:ind w:left="0"/>
            </w:pPr>
            <w:r>
              <w:t>0.5 mL</w:t>
            </w:r>
          </w:p>
        </w:tc>
      </w:tr>
      <w:tr w:rsidR="0020637D" w:rsidTr="00CF0410">
        <w:tc>
          <w:tcPr>
            <w:tcW w:w="1726" w:type="dxa"/>
          </w:tcPr>
          <w:p w:rsidR="0020637D" w:rsidRDefault="0020637D" w:rsidP="00CF0410">
            <w:pPr>
              <w:pStyle w:val="ListParagraph"/>
              <w:ind w:left="0"/>
            </w:pPr>
            <w:r>
              <w:t>Urine</w:t>
            </w:r>
          </w:p>
        </w:tc>
        <w:tc>
          <w:tcPr>
            <w:tcW w:w="1532" w:type="dxa"/>
          </w:tcPr>
          <w:p w:rsidR="0020637D" w:rsidRDefault="00BA0750" w:rsidP="00CF0410">
            <w:pPr>
              <w:pStyle w:val="ListParagraph"/>
              <w:ind w:left="0"/>
            </w:pPr>
            <w:r>
              <w:t>1.5-</w:t>
            </w:r>
            <w:r w:rsidR="0020637D">
              <w:t>4.5 mL</w:t>
            </w:r>
          </w:p>
        </w:tc>
        <w:tc>
          <w:tcPr>
            <w:tcW w:w="1811" w:type="dxa"/>
          </w:tcPr>
          <w:p w:rsidR="0020637D" w:rsidRDefault="00BA0750" w:rsidP="00CF0410">
            <w:pPr>
              <w:pStyle w:val="ListParagraph"/>
              <w:ind w:left="0"/>
            </w:pPr>
            <w:r>
              <w:t xml:space="preserve">&lt; </w:t>
            </w:r>
            <w:r w:rsidR="0020637D">
              <w:t>1.5 mL</w:t>
            </w:r>
          </w:p>
        </w:tc>
        <w:tc>
          <w:tcPr>
            <w:tcW w:w="1749" w:type="dxa"/>
          </w:tcPr>
          <w:p w:rsidR="0020637D" w:rsidRDefault="0020637D" w:rsidP="00CF0410">
            <w:pPr>
              <w:pStyle w:val="ListParagraph"/>
              <w:ind w:left="0"/>
            </w:pPr>
            <w:r>
              <w:t>1 mL</w:t>
            </w:r>
          </w:p>
        </w:tc>
      </w:tr>
      <w:tr w:rsidR="0020637D" w:rsidTr="00CF0410">
        <w:tc>
          <w:tcPr>
            <w:tcW w:w="1726" w:type="dxa"/>
          </w:tcPr>
          <w:p w:rsidR="0020637D" w:rsidRDefault="0020637D" w:rsidP="00CF0410">
            <w:pPr>
              <w:pStyle w:val="ListParagraph"/>
              <w:ind w:left="0"/>
            </w:pPr>
            <w:r>
              <w:t>Hair and nail</w:t>
            </w:r>
          </w:p>
        </w:tc>
        <w:tc>
          <w:tcPr>
            <w:tcW w:w="1532" w:type="dxa"/>
          </w:tcPr>
          <w:p w:rsidR="0020637D" w:rsidRDefault="0020637D" w:rsidP="00CF0410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811" w:type="dxa"/>
          </w:tcPr>
          <w:p w:rsidR="0020637D" w:rsidRDefault="0020637D" w:rsidP="00CF0410">
            <w:pPr>
              <w:pStyle w:val="ListParagraph"/>
              <w:ind w:left="0"/>
            </w:pPr>
            <w:r>
              <w:t>-</w:t>
            </w:r>
          </w:p>
        </w:tc>
        <w:tc>
          <w:tcPr>
            <w:tcW w:w="1749" w:type="dxa"/>
          </w:tcPr>
          <w:p w:rsidR="0020637D" w:rsidRDefault="0020637D" w:rsidP="00CF0410">
            <w:pPr>
              <w:pStyle w:val="ListParagraph"/>
              <w:ind w:left="0"/>
            </w:pPr>
            <w:r>
              <w:t>A few clippings</w:t>
            </w:r>
          </w:p>
        </w:tc>
      </w:tr>
    </w:tbl>
    <w:p w:rsidR="00CF0410" w:rsidRDefault="00CF0410" w:rsidP="00CF0410">
      <w:pPr>
        <w:pStyle w:val="ListParagraph"/>
      </w:pPr>
    </w:p>
    <w:p w:rsidR="00385EBE" w:rsidRDefault="00385EBE" w:rsidP="007652BB">
      <w:pPr>
        <w:pStyle w:val="ListParagraph"/>
        <w:numPr>
          <w:ilvl w:val="0"/>
          <w:numId w:val="3"/>
        </w:numPr>
      </w:pPr>
      <w:r>
        <w:t>For DNA extraction from buffy coat samples, due to sample heterogeneity, it is preferable to extract from more than 1 straw, and return the remaining extracted DNA to the repository.</w:t>
      </w:r>
    </w:p>
    <w:p w:rsidR="007652BB" w:rsidRDefault="007652BB" w:rsidP="007652BB">
      <w:pPr>
        <w:pStyle w:val="ListParagraph"/>
        <w:numPr>
          <w:ilvl w:val="0"/>
          <w:numId w:val="3"/>
        </w:numPr>
      </w:pPr>
      <w:r>
        <w:t xml:space="preserve">Use of samples with known medical outcomes are only restricted to </w:t>
      </w:r>
      <w:r w:rsidR="008563D5">
        <w:t>the</w:t>
      </w:r>
      <w:r>
        <w:t xml:space="preserve"> </w:t>
      </w:r>
      <w:r w:rsidR="008563D5">
        <w:t>scientifically relevant hypotheses</w:t>
      </w:r>
      <w:r>
        <w:t xml:space="preserve"> (e.g. Please exclude ESCC samples when studying CVD unless it introduces bias)</w:t>
      </w:r>
      <w:r w:rsidR="00385EBE">
        <w:t>.</w:t>
      </w:r>
    </w:p>
    <w:p w:rsidR="00385EBE" w:rsidRDefault="00385EBE" w:rsidP="007652BB">
      <w:pPr>
        <w:pStyle w:val="ListParagraph"/>
        <w:numPr>
          <w:ilvl w:val="0"/>
          <w:numId w:val="3"/>
        </w:numPr>
      </w:pPr>
      <w:r>
        <w:t xml:space="preserve">Please refrain from using samples </w:t>
      </w:r>
      <w:r w:rsidR="00AD6C02">
        <w:t xml:space="preserve">of </w:t>
      </w:r>
      <w:r w:rsidR="002D68D6">
        <w:t xml:space="preserve">individuals with </w:t>
      </w:r>
      <w:r w:rsidR="00AD6C02">
        <w:t>outcomes</w:t>
      </w:r>
      <w:r w:rsidR="002D68D6">
        <w:t xml:space="preserve"> occurring</w:t>
      </w:r>
      <w:r w:rsidR="00AD6C02">
        <w:t xml:space="preserve"> </w:t>
      </w:r>
      <w:r>
        <w:t>in the first 3 years of follow up, unless the study aims at early detection.</w:t>
      </w:r>
    </w:p>
    <w:p w:rsidR="00FC1061" w:rsidRDefault="00FC1061" w:rsidP="00C86E39">
      <w:pPr>
        <w:pStyle w:val="ListParagraph"/>
        <w:numPr>
          <w:ilvl w:val="0"/>
          <w:numId w:val="3"/>
        </w:numPr>
      </w:pPr>
      <w:r>
        <w:t>The general priority order of sample use (whenever possible) is:</w:t>
      </w:r>
    </w:p>
    <w:p w:rsidR="00C86E39" w:rsidRDefault="00C86E39" w:rsidP="00FC1061">
      <w:pPr>
        <w:pStyle w:val="ListParagraph"/>
        <w:numPr>
          <w:ilvl w:val="1"/>
          <w:numId w:val="3"/>
        </w:numPr>
      </w:pPr>
      <w:r>
        <w:t xml:space="preserve">Use of pilot samples </w:t>
      </w:r>
    </w:p>
    <w:p w:rsidR="00C86E39" w:rsidRDefault="00C86E39" w:rsidP="00FC1061">
      <w:pPr>
        <w:pStyle w:val="ListParagraph"/>
        <w:numPr>
          <w:ilvl w:val="1"/>
          <w:numId w:val="3"/>
        </w:numPr>
      </w:pPr>
      <w:r>
        <w:t xml:space="preserve">Use of duplicate/triplicate samples </w:t>
      </w:r>
    </w:p>
    <w:p w:rsidR="00C86E39" w:rsidRDefault="00C86E39" w:rsidP="00FC1061">
      <w:pPr>
        <w:pStyle w:val="ListParagraph"/>
        <w:numPr>
          <w:ilvl w:val="1"/>
          <w:numId w:val="3"/>
        </w:numPr>
      </w:pPr>
      <w:r>
        <w:t xml:space="preserve">Use of subjects who are lost to follow up or died of accidents </w:t>
      </w:r>
    </w:p>
    <w:p w:rsidR="00385EBE" w:rsidRDefault="00385EBE" w:rsidP="00FC1061">
      <w:pPr>
        <w:pStyle w:val="ListParagraph"/>
        <w:numPr>
          <w:ilvl w:val="1"/>
          <w:numId w:val="3"/>
        </w:numPr>
      </w:pPr>
      <w:r>
        <w:t>Use of case-control study samples</w:t>
      </w:r>
    </w:p>
    <w:p w:rsidR="00C86E39" w:rsidRDefault="00C86E39" w:rsidP="00FC1061">
      <w:pPr>
        <w:pStyle w:val="ListParagraph"/>
        <w:numPr>
          <w:ilvl w:val="1"/>
          <w:numId w:val="3"/>
        </w:numPr>
      </w:pPr>
      <w:r>
        <w:t xml:space="preserve">Use of samples </w:t>
      </w:r>
      <w:r w:rsidR="007652BB">
        <w:t>from participants who</w:t>
      </w:r>
      <w:r>
        <w:t xml:space="preserve"> were not </w:t>
      </w:r>
      <w:r w:rsidR="007652BB">
        <w:t>included in</w:t>
      </w:r>
      <w:r>
        <w:t xml:space="preserve"> </w:t>
      </w:r>
      <w:proofErr w:type="spellStart"/>
      <w:r>
        <w:t>remeasurement</w:t>
      </w:r>
      <w:proofErr w:type="spellEnd"/>
      <w:r>
        <w:t xml:space="preserve"> or </w:t>
      </w:r>
      <w:proofErr w:type="spellStart"/>
      <w:r>
        <w:t>polypill</w:t>
      </w:r>
      <w:proofErr w:type="spellEnd"/>
      <w:r w:rsidR="007652BB">
        <w:t xml:space="preserve"> </w:t>
      </w:r>
    </w:p>
    <w:p w:rsidR="007652BB" w:rsidRDefault="007652BB" w:rsidP="00FC1061">
      <w:pPr>
        <w:pStyle w:val="ListParagraph"/>
        <w:numPr>
          <w:ilvl w:val="1"/>
          <w:numId w:val="3"/>
        </w:numPr>
      </w:pPr>
      <w:r>
        <w:t>Samples without an outcome of interest (death or cancer)</w:t>
      </w:r>
    </w:p>
    <w:p w:rsidR="00385EBE" w:rsidRDefault="00385EBE" w:rsidP="00FC1061">
      <w:pPr>
        <w:pStyle w:val="ListParagraph"/>
        <w:numPr>
          <w:ilvl w:val="1"/>
          <w:numId w:val="3"/>
        </w:numPr>
      </w:pPr>
      <w:r>
        <w:t>Samples not diagnosed within the first 3 years of follow-up</w:t>
      </w:r>
    </w:p>
    <w:p w:rsidR="007652BB" w:rsidRDefault="007652BB"/>
    <w:p w:rsidR="008B0EF4" w:rsidRDefault="008B0EF4">
      <w:r>
        <w:t>Please start from the top in case you want to use samples</w:t>
      </w:r>
      <w:r w:rsidR="00C86E39">
        <w:t>.</w:t>
      </w:r>
    </w:p>
    <w:p w:rsidR="008B0EF4" w:rsidRDefault="008B0EF4"/>
    <w:p w:rsidR="00D83778" w:rsidRDefault="00D83778" w:rsidP="00D83778">
      <w:pPr>
        <w:pStyle w:val="ListParagraph"/>
        <w:numPr>
          <w:ilvl w:val="0"/>
          <w:numId w:val="1"/>
        </w:numPr>
      </w:pPr>
      <w:r>
        <w:t>Samples from Cohort pilot phase with duplicates/triplicates available</w:t>
      </w:r>
    </w:p>
    <w:p w:rsidR="00D83778" w:rsidRDefault="00D83778" w:rsidP="00D83778">
      <w:pPr>
        <w:pStyle w:val="ListParagraph"/>
        <w:numPr>
          <w:ilvl w:val="0"/>
          <w:numId w:val="1"/>
        </w:numPr>
      </w:pPr>
      <w:r>
        <w:t>Unique samples from Cohort pilot phase with NO duplicates/triplicates available</w:t>
      </w:r>
    </w:p>
    <w:p w:rsidR="00D83778" w:rsidRDefault="00D83778" w:rsidP="00D83778">
      <w:pPr>
        <w:pStyle w:val="ListParagraph"/>
        <w:numPr>
          <w:ilvl w:val="0"/>
          <w:numId w:val="1"/>
        </w:numPr>
      </w:pPr>
      <w:r>
        <w:t>Cohort samples who are lost to follow-up with duplicates/triplicates available</w:t>
      </w:r>
    </w:p>
    <w:p w:rsidR="00D83778" w:rsidRDefault="00D83778" w:rsidP="00D83778">
      <w:pPr>
        <w:pStyle w:val="ListParagraph"/>
        <w:numPr>
          <w:ilvl w:val="0"/>
          <w:numId w:val="1"/>
        </w:numPr>
      </w:pPr>
      <w:r>
        <w:t>Unique Cohort samples who are lost to follow-up with NO duplicates/triplicates available</w:t>
      </w:r>
    </w:p>
    <w:p w:rsidR="008B0EF4" w:rsidRDefault="008B0EF4" w:rsidP="008B0EF4">
      <w:pPr>
        <w:pStyle w:val="ListParagraph"/>
        <w:numPr>
          <w:ilvl w:val="0"/>
          <w:numId w:val="1"/>
        </w:numPr>
      </w:pPr>
      <w:r>
        <w:lastRenderedPageBreak/>
        <w:t>Samples from the case-control study with duplicates/triplicates available</w:t>
      </w:r>
    </w:p>
    <w:p w:rsidR="008B0EF4" w:rsidRDefault="008B0EF4" w:rsidP="008B0EF4">
      <w:pPr>
        <w:pStyle w:val="ListParagraph"/>
        <w:numPr>
          <w:ilvl w:val="0"/>
          <w:numId w:val="1"/>
        </w:numPr>
      </w:pPr>
      <w:r>
        <w:t>Unique samples from the case-control study with NO duplicates/triplicates available</w:t>
      </w:r>
    </w:p>
    <w:p w:rsidR="008B0EF4" w:rsidRDefault="008B0EF4" w:rsidP="008B0EF4">
      <w:pPr>
        <w:pStyle w:val="ListParagraph"/>
        <w:numPr>
          <w:ilvl w:val="0"/>
          <w:numId w:val="1"/>
        </w:numPr>
      </w:pPr>
      <w:r>
        <w:t>Cohort samples who died of accidents or other non-medical reasons during follow up with duplicates/triplicates available</w:t>
      </w:r>
    </w:p>
    <w:p w:rsidR="008B0EF4" w:rsidRDefault="008B0EF4" w:rsidP="008B0EF4">
      <w:pPr>
        <w:pStyle w:val="ListParagraph"/>
        <w:numPr>
          <w:ilvl w:val="0"/>
          <w:numId w:val="1"/>
        </w:numPr>
      </w:pPr>
      <w:r>
        <w:t>Unique Cohort samples who died of accidents or other non-medical reasons during follow up with NO duplicates/triplicates available</w:t>
      </w:r>
    </w:p>
    <w:p w:rsidR="008B0EF4" w:rsidRDefault="008B0EF4" w:rsidP="008B0EF4">
      <w:pPr>
        <w:pStyle w:val="ListParagraph"/>
        <w:numPr>
          <w:ilvl w:val="0"/>
          <w:numId w:val="1"/>
        </w:numPr>
      </w:pPr>
      <w:r>
        <w:t xml:space="preserve">Cohort samples with no known outcome during follow up who were not part of </w:t>
      </w:r>
      <w:proofErr w:type="spellStart"/>
      <w:r>
        <w:t>remeasurement</w:t>
      </w:r>
      <w:proofErr w:type="spellEnd"/>
      <w:r>
        <w:t>/</w:t>
      </w:r>
      <w:proofErr w:type="spellStart"/>
      <w:r>
        <w:t>polypill</w:t>
      </w:r>
      <w:proofErr w:type="spellEnd"/>
      <w:r>
        <w:t xml:space="preserve"> samples with duplicates/triplicates available</w:t>
      </w:r>
    </w:p>
    <w:p w:rsidR="008B0EF4" w:rsidRDefault="008B0EF4" w:rsidP="008B0EF4">
      <w:pPr>
        <w:pStyle w:val="ListParagraph"/>
        <w:numPr>
          <w:ilvl w:val="0"/>
          <w:numId w:val="1"/>
        </w:numPr>
      </w:pPr>
      <w:r>
        <w:t xml:space="preserve">Unique Cohort samples with no known outcome during follow up who were not part of </w:t>
      </w:r>
      <w:proofErr w:type="spellStart"/>
      <w:r>
        <w:t>remeasurement</w:t>
      </w:r>
      <w:proofErr w:type="spellEnd"/>
      <w:r>
        <w:t>/</w:t>
      </w:r>
      <w:proofErr w:type="spellStart"/>
      <w:r>
        <w:t>polypill</w:t>
      </w:r>
      <w:proofErr w:type="spellEnd"/>
      <w:r>
        <w:t xml:space="preserve"> samples with NO duplicates/triplicates available</w:t>
      </w:r>
    </w:p>
    <w:p w:rsidR="008B0EF4" w:rsidRDefault="008B0EF4" w:rsidP="008B0EF4">
      <w:pPr>
        <w:pStyle w:val="ListParagraph"/>
        <w:numPr>
          <w:ilvl w:val="0"/>
          <w:numId w:val="1"/>
        </w:numPr>
      </w:pPr>
      <w:r>
        <w:t xml:space="preserve">Cohort samples with no known outcome during follow up who were also part of </w:t>
      </w:r>
      <w:proofErr w:type="spellStart"/>
      <w:r>
        <w:t>remeasurement</w:t>
      </w:r>
      <w:proofErr w:type="spellEnd"/>
      <w:r>
        <w:t>/</w:t>
      </w:r>
      <w:proofErr w:type="spellStart"/>
      <w:r>
        <w:t>polypill</w:t>
      </w:r>
      <w:proofErr w:type="spellEnd"/>
      <w:r>
        <w:t xml:space="preserve"> samples with duplicates/triplicates available</w:t>
      </w:r>
    </w:p>
    <w:p w:rsidR="008B0EF4" w:rsidRDefault="008B0EF4" w:rsidP="008B0EF4">
      <w:pPr>
        <w:pStyle w:val="ListParagraph"/>
        <w:numPr>
          <w:ilvl w:val="0"/>
          <w:numId w:val="1"/>
        </w:numPr>
      </w:pPr>
      <w:r>
        <w:t xml:space="preserve">Unique Cohort samples with no known outcome during follow up who were also part of </w:t>
      </w:r>
      <w:proofErr w:type="spellStart"/>
      <w:r>
        <w:t>remeasurement</w:t>
      </w:r>
      <w:proofErr w:type="spellEnd"/>
      <w:r>
        <w:t>/</w:t>
      </w:r>
      <w:proofErr w:type="spellStart"/>
      <w:r>
        <w:t>polypill</w:t>
      </w:r>
      <w:proofErr w:type="spellEnd"/>
      <w:r>
        <w:t xml:space="preserve"> samples with NO duplicates/triplicates available</w:t>
      </w:r>
    </w:p>
    <w:p w:rsidR="008B0EF4" w:rsidRDefault="00C86E39" w:rsidP="008B0EF4">
      <w:pPr>
        <w:pStyle w:val="ListParagraph"/>
        <w:numPr>
          <w:ilvl w:val="0"/>
          <w:numId w:val="1"/>
        </w:numPr>
      </w:pPr>
      <w:r>
        <w:t xml:space="preserve">ONLY </w:t>
      </w:r>
      <w:r w:rsidR="008563D5">
        <w:t>WITH SCIENTIFIC JUSTIFICATION</w:t>
      </w:r>
      <w:r>
        <w:t xml:space="preserve">: </w:t>
      </w:r>
      <w:r w:rsidR="008B0EF4">
        <w:t xml:space="preserve">Cohort samples with known outcomes during follow up who were not part of </w:t>
      </w:r>
      <w:proofErr w:type="spellStart"/>
      <w:r w:rsidR="008B0EF4">
        <w:t>remeasurement</w:t>
      </w:r>
      <w:proofErr w:type="spellEnd"/>
      <w:r w:rsidR="008B0EF4">
        <w:t>/</w:t>
      </w:r>
      <w:proofErr w:type="spellStart"/>
      <w:r w:rsidR="008B0EF4">
        <w:t>polypill</w:t>
      </w:r>
      <w:proofErr w:type="spellEnd"/>
      <w:r w:rsidR="008B0EF4">
        <w:t xml:space="preserve"> samples with duplicates/triplicates available</w:t>
      </w:r>
      <w:r w:rsidR="00385EBE">
        <w:t xml:space="preserve"> (use of samples diagnosed within the first 3 years restricted to studying early detection)</w:t>
      </w:r>
    </w:p>
    <w:p w:rsidR="008B0EF4" w:rsidRDefault="008563D5" w:rsidP="008563D5">
      <w:pPr>
        <w:pStyle w:val="ListParagraph"/>
        <w:numPr>
          <w:ilvl w:val="0"/>
          <w:numId w:val="1"/>
        </w:numPr>
      </w:pPr>
      <w:r>
        <w:t>ONLY WITH SCIENTIFIC JUSTIFICATION</w:t>
      </w:r>
      <w:r w:rsidR="00C86E39">
        <w:t xml:space="preserve">: </w:t>
      </w:r>
      <w:r w:rsidR="008B0EF4">
        <w:t xml:space="preserve">Unique Cohort samples with known outcome during follow up who were not part of </w:t>
      </w:r>
      <w:proofErr w:type="spellStart"/>
      <w:r w:rsidR="008B0EF4">
        <w:t>remeasurement</w:t>
      </w:r>
      <w:proofErr w:type="spellEnd"/>
      <w:r w:rsidR="008B0EF4">
        <w:t>/</w:t>
      </w:r>
      <w:proofErr w:type="spellStart"/>
      <w:r w:rsidR="008B0EF4">
        <w:t>polypill</w:t>
      </w:r>
      <w:proofErr w:type="spellEnd"/>
      <w:r w:rsidR="008B0EF4">
        <w:t xml:space="preserve"> samples with NO duplicates/triplicates available</w:t>
      </w:r>
      <w:r w:rsidR="00385EBE">
        <w:t xml:space="preserve"> (use of samples diagnosed within the first 3 years restricted to studying early detection)</w:t>
      </w:r>
    </w:p>
    <w:p w:rsidR="00C86E39" w:rsidRDefault="008563D5" w:rsidP="008563D5">
      <w:pPr>
        <w:pStyle w:val="ListParagraph"/>
        <w:numPr>
          <w:ilvl w:val="0"/>
          <w:numId w:val="1"/>
        </w:numPr>
      </w:pPr>
      <w:r>
        <w:t>ONLY WITH SCIENTIFIC JUSTIFICATION</w:t>
      </w:r>
      <w:r w:rsidR="00C86E39">
        <w:t xml:space="preserve">: Cohort samples with known outcomes during follow up who were also part of </w:t>
      </w:r>
      <w:proofErr w:type="spellStart"/>
      <w:r w:rsidR="00C86E39">
        <w:t>remeasurement</w:t>
      </w:r>
      <w:proofErr w:type="spellEnd"/>
      <w:r w:rsidR="00C86E39">
        <w:t>/</w:t>
      </w:r>
      <w:proofErr w:type="spellStart"/>
      <w:r w:rsidR="00C86E39">
        <w:t>polypill</w:t>
      </w:r>
      <w:proofErr w:type="spellEnd"/>
      <w:r w:rsidR="00C86E39">
        <w:t xml:space="preserve"> samples with duplicates/triplicates available</w:t>
      </w:r>
      <w:r w:rsidR="00385EBE">
        <w:t xml:space="preserve"> (use of samples diagnosed within the first 3 years restricted to studying early detection)</w:t>
      </w:r>
    </w:p>
    <w:p w:rsidR="008B0EF4" w:rsidRDefault="008563D5" w:rsidP="008563D5">
      <w:pPr>
        <w:pStyle w:val="ListParagraph"/>
        <w:numPr>
          <w:ilvl w:val="0"/>
          <w:numId w:val="1"/>
        </w:numPr>
      </w:pPr>
      <w:r>
        <w:t>ONLY WITH SCIENTIFIC JUSTIFICATION</w:t>
      </w:r>
      <w:r w:rsidR="00C86E39">
        <w:t xml:space="preserve">: Unique Cohort samples with no known outcome during follow up who were also part of </w:t>
      </w:r>
      <w:proofErr w:type="spellStart"/>
      <w:r w:rsidR="00C86E39">
        <w:t>remeasurement</w:t>
      </w:r>
      <w:proofErr w:type="spellEnd"/>
      <w:r w:rsidR="00C86E39">
        <w:t>/</w:t>
      </w:r>
      <w:proofErr w:type="spellStart"/>
      <w:r w:rsidR="00C86E39">
        <w:t>polypill</w:t>
      </w:r>
      <w:proofErr w:type="spellEnd"/>
      <w:r w:rsidR="00C86E39">
        <w:t xml:space="preserve"> samples with NO duplicates/triplicates available</w:t>
      </w:r>
      <w:r w:rsidR="00385EBE">
        <w:t xml:space="preserve"> (use of samples diagnosed within the first 3 years restricted to studying early detection)</w:t>
      </w:r>
    </w:p>
    <w:sectPr w:rsidR="008B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2284"/>
    <w:multiLevelType w:val="hybridMultilevel"/>
    <w:tmpl w:val="CD84F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44C9"/>
    <w:multiLevelType w:val="hybridMultilevel"/>
    <w:tmpl w:val="89EA4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94025"/>
    <w:multiLevelType w:val="hybridMultilevel"/>
    <w:tmpl w:val="006A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F4"/>
    <w:rsid w:val="000D6463"/>
    <w:rsid w:val="0020637D"/>
    <w:rsid w:val="002D68D6"/>
    <w:rsid w:val="00385EBE"/>
    <w:rsid w:val="003D29A2"/>
    <w:rsid w:val="003E1724"/>
    <w:rsid w:val="00606C41"/>
    <w:rsid w:val="00727C17"/>
    <w:rsid w:val="007652BB"/>
    <w:rsid w:val="008563D5"/>
    <w:rsid w:val="008B0EF4"/>
    <w:rsid w:val="00A25A11"/>
    <w:rsid w:val="00AD6C02"/>
    <w:rsid w:val="00B6398B"/>
    <w:rsid w:val="00BA0750"/>
    <w:rsid w:val="00C86E39"/>
    <w:rsid w:val="00CF0410"/>
    <w:rsid w:val="00D740B9"/>
    <w:rsid w:val="00D83778"/>
    <w:rsid w:val="00F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493CD-5D52-478F-8AF0-E03889D3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EF4"/>
    <w:pPr>
      <w:ind w:left="720"/>
      <w:contextualSpacing/>
    </w:pPr>
  </w:style>
  <w:style w:type="table" w:styleId="TableGrid">
    <w:name w:val="Table Grid"/>
    <w:basedOn w:val="TableNormal"/>
    <w:uiPriority w:val="39"/>
    <w:rsid w:val="00CF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804</Words>
  <Characters>3670</Characters>
  <Application>Microsoft Office Word</Application>
  <DocSecurity>0</DocSecurity>
  <Lines>734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Sample use in GEMINI</dc:title>
  <dc:subject>GEMINI Shared Repository</dc:subject>
  <dc:creator>National Cancer Institute (NCI)</dc:creator>
  <cp:keywords>biospecimen, sample, volume, assay, research</cp:keywords>
  <dc:description/>
  <cp:lastModifiedBy>Hitchcock, Denise (IMS)</cp:lastModifiedBy>
  <cp:revision>5</cp:revision>
  <cp:lastPrinted>2018-05-22T15:10:00Z</cp:lastPrinted>
  <dcterms:created xsi:type="dcterms:W3CDTF">2018-06-04T23:02:00Z</dcterms:created>
  <dcterms:modified xsi:type="dcterms:W3CDTF">2018-11-16T22:47:00Z</dcterms:modified>
</cp:coreProperties>
</file>